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68" w:rsidRPr="004B0768" w:rsidRDefault="004B0768" w:rsidP="004B07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B0768">
        <w:rPr>
          <w:sz w:val="24"/>
          <w:szCs w:val="24"/>
        </w:rPr>
        <w:t>Załącznik nr 4 do Regulaminu Konkursu</w:t>
      </w:r>
    </w:p>
    <w:p w:rsidR="004B0768" w:rsidRDefault="004B0768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3E2EEE" w:rsidRDefault="003E2EEE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Załącznik I do Traktatu Ustanawiającego Wspólnotę Europejską (Dz. Urz. WE C 235</w:t>
      </w:r>
      <w:r w:rsidR="004B0768"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z 24.12.2002)</w:t>
      </w:r>
    </w:p>
    <w:p w:rsidR="007E0179" w:rsidRDefault="007E0179">
      <w:pPr>
        <w:tabs>
          <w:tab w:val="center" w:pos="4680"/>
        </w:tabs>
        <w:suppressAutoHyphens/>
        <w:jc w:val="both"/>
        <w:rPr>
          <w:spacing w:val="-3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42"/>
      </w:tblGrid>
      <w:tr w:rsidR="007E0179">
        <w:tc>
          <w:tcPr>
            <w:tcW w:w="2622" w:type="dxa"/>
            <w:tcBorders>
              <w:left w:val="nil"/>
              <w:bottom w:val="single" w:sz="4" w:space="0" w:color="auto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- 1 -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bottom w:val="single" w:sz="4" w:space="0" w:color="auto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DZIAŁ 1 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Zwierzęta żywe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Mięso i podroby jadalne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Ryby, skorupiaki, mięczaki i inne bezkręgowce wodne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Produkty mleczarskie; jaja ptasie; miód naturalny; jadalne produkty pochodzenia zwierzęcego, gdzie indziej niewymienione ani niewłączone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rPr>
          <w:trHeight w:val="872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Jelita, pęcherze i żołądki zwierząt (z wyjątkiem rybich), całe lub w kawałkach, świeże, chłodzone, mrożone, solone, w solance, suszone lub wędzone:</w:t>
            </w:r>
          </w:p>
        </w:tc>
      </w:tr>
      <w:tr w:rsidR="007E0179">
        <w:trPr>
          <w:trHeight w:val="843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05.15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Produkty pochodzenia zwierzęcego, gdzie indziej niewymienione ani niewłączone; martwe zwierzęta objęte działami 1 lub 3, nienadające się do spożycia przez ludzi: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Żywe drzewa i inne rośliny; bulwy, korzenie i podobne; cięte i ozdobne liście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Warzywa oraz niektóre korzenie i bulwy jadalne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Owoce i orzechy jadalne; skórki owoców cytrusowych lub melonów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9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Kawa, herbata i przyprawy, z wyjątkiem herba mate (pozycja Nr 09.03)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Zboża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11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Produkty przemysłu młynarskiego; słód; skrobie; inulina; gluten pszenny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 xml:space="preserve">Nasiona i owoce oleiste; ziarna, nasiona i owoce różne; rośliny przemysłowe i lecznicze; słoma i pasza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13.03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Pektyna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15</w:t>
            </w:r>
            <w:r>
              <w:rPr>
                <w:spacing w:val="-3"/>
                <w:sz w:val="22"/>
              </w:rPr>
              <w:tab/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Słonina i inny przetworzony tłuszcz wieprzowy; przetworzony tłuszcz drobiowy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Nieprzetworzone tłuszcze wołowe, owcze i koźle; łój (łącznie z "premier jus") wytwarzany z tych tłuszczy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Stearyna z tłuszczu, oleju i łoju; olej z tłuszczu, oliwy i łoju, nieemulgowany, niemieszany i niepreparowany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 ryb i ssaków morskich, oczyszczane lub nie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roślinne, płynne lub stałe, surowe, rafinowane lub oczyszczane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15.12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zwierzęce oraz roślinne, uwodorniane, rafinowane lub nie, ale bez dalszej przeróbki</w:t>
            </w:r>
          </w:p>
        </w:tc>
      </w:tr>
      <w:tr w:rsidR="007E0179">
        <w:trPr>
          <w:trHeight w:val="556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15.13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Margaryna, sztuczna słonina i inne preparowane tłuszcze jadalne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15.17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Pozostałości po oczyszczaniu substancji tłuszczowych i wosków zwierzęcych lub roślinnych</w:t>
            </w:r>
          </w:p>
        </w:tc>
      </w:tr>
    </w:tbl>
    <w:p w:rsidR="007E0179" w:rsidRDefault="007E017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42"/>
      </w:tblGrid>
      <w:tr w:rsidR="007E0179">
        <w:trPr>
          <w:trHeight w:val="625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- 1 -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>
        <w:trPr>
          <w:trHeight w:val="62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 xml:space="preserve">Przetwory z mięsa, ryb lub skorupiaków, mięczaków i innych bezkręgowców wodnych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>Cukier trzcinowy lub buraczany i chemicznie czysta sacharoza, w postaci stałej:</w:t>
            </w:r>
          </w:p>
        </w:tc>
      </w:tr>
      <w:tr w:rsidR="007E0179">
        <w:trPr>
          <w:trHeight w:val="68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rodzaje cukru; syropy cukrowe; miód syntetyczny (zmieszany z naturalnym lub nie); karmel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Melasa, odbarwiona lub nie</w:t>
            </w:r>
          </w:p>
        </w:tc>
      </w:tr>
      <w:tr w:rsidR="007E0179">
        <w:trPr>
          <w:trHeight w:val="92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17.05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Cukry, syropy, aromatyzowana melasa lub z dodatkiem barwników (w tym cukier waniliowy lub wanilina), z wyjątkiem soków owocowych z dodatkiem cukru w jakichkolwiek proporcjach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Ziarna kakaowe, całe lub łamane, surowe lub palone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Kakaowe łuski, łupiny, osłonki i inne odpady z kakao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20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Przetwory z warzyw, owoców, orzechów lub innych części roślin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rPr>
          <w:trHeight w:val="60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Moszcz winogronowy, fermentujący lub z fermentacją zatrzymaną w inny sposób niż przez dodanie alkoholu</w:t>
            </w:r>
          </w:p>
        </w:tc>
      </w:tr>
      <w:tr w:rsidR="007E0179">
        <w:trPr>
          <w:trHeight w:val="65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22.05</w:t>
            </w: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ab/>
              <w:t>Wino ze świeżych winogron; moszcz winogronowy z fermentacją zatrzymaną przez dodanie alkoholu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Wino ze świeżych winogron; moszcz winogronowy z fermentacją zatrzymaną przez dodanie alkoholu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napoje na bazie fermentacji (np. jabłecznik, wino z gruszek i miód pitny)</w:t>
            </w:r>
          </w:p>
        </w:tc>
      </w:tr>
      <w:tr w:rsidR="007E0179">
        <w:trPr>
          <w:trHeight w:val="121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ex 22.08</w:t>
            </w:r>
            <w:r>
              <w:rPr>
                <w:rStyle w:val="Odwoanieprzypisudolnego"/>
              </w:rPr>
              <w:t>*</w:t>
            </w:r>
          </w:p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22.09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Alkohol etylowy, denaturowany lub nie, o jakiejkolwiek mocy, otrzymywany z produktów rolnych, o których mowa w załączniku I do Traktatu, z wyłączeniem wódek, likierów i innych napojów spirytusowych, </w:t>
            </w:r>
            <w:r>
              <w:rPr>
                <w:sz w:val="22"/>
              </w:rPr>
              <w:t>złożone preparaty alkoholowe (znane jako „skoncentrowane ekstrakty”) do wyrobu napojów</w:t>
            </w:r>
            <w:r>
              <w:rPr>
                <w:spacing w:val="-3"/>
                <w:sz w:val="22"/>
              </w:rPr>
              <w:t>.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22.10</w:t>
            </w:r>
            <w:r>
              <w:rPr>
                <w:rStyle w:val="Odwoanieprzypisudolnego"/>
                <w:spacing w:val="-3"/>
                <w:sz w:val="22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ocet i jego substytuty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Pozostałości i odpady przemysłu spożywczego; gotowa pasza dla zwierząt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Tytoń nieprzetworzony; odpady tytoniowe: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>Korek naturalny surowy; odpady korka; korek kruszony, granulowany lub mielony: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Len surowy lub przetworzony ale nieprzędzony; pakuły i odpady lniane (w tym skrawki workowe lub rozwłóknianie)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57.01</w:t>
            </w:r>
          </w:p>
        </w:tc>
        <w:tc>
          <w:tcPr>
            <w:tcW w:w="7042" w:type="dxa"/>
            <w:tcBorders>
              <w:top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Konopie naturalne </w:t>
            </w:r>
            <w:r>
              <w:rPr>
                <w:i/>
                <w:spacing w:val="-3"/>
                <w:sz w:val="22"/>
              </w:rPr>
              <w:t>(Cannabis sativa)</w:t>
            </w:r>
            <w:r>
              <w:rPr>
                <w:spacing w:val="-3"/>
                <w:sz w:val="22"/>
              </w:rPr>
              <w:t>, surowe lub przetworzone ale nieprzędzone; pakuły i odpady z konopi naturalnych (w tym liny oraz skrawki workowe lub rozwłókniane)</w:t>
            </w:r>
          </w:p>
        </w:tc>
      </w:tr>
      <w:tr w:rsidR="007E0179">
        <w:trPr>
          <w:cantSplit/>
        </w:trPr>
        <w:tc>
          <w:tcPr>
            <w:tcW w:w="9664" w:type="dxa"/>
            <w:gridSpan w:val="2"/>
            <w:tcBorders>
              <w:left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rStyle w:val="Odwoanieprzypisudolnego"/>
              </w:rPr>
              <w:t>*</w:t>
            </w:r>
            <w:r>
              <w:t>Pozycja dodana artykułem 1 rozporządzenia nr 7a Rady Europejskiej Wspólnoty Gospodarczej z 18 grudnia 1959 roku (Dz.U. 7 z 30.1.1961, str. 71/61).</w:t>
            </w:r>
          </w:p>
        </w:tc>
      </w:tr>
    </w:tbl>
    <w:p w:rsidR="007E0179" w:rsidRDefault="007E01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spacing w:val="-3"/>
          <w:sz w:val="22"/>
        </w:rPr>
      </w:pPr>
    </w:p>
    <w:p w:rsidR="007E0179" w:rsidRDefault="007E0179" w:rsidP="003E2EEE">
      <w:pPr>
        <w:tabs>
          <w:tab w:val="center" w:pos="4680"/>
        </w:tabs>
        <w:suppressAutoHyphens/>
        <w:jc w:val="both"/>
      </w:pPr>
      <w:r>
        <w:rPr>
          <w:i/>
        </w:rPr>
        <w:tab/>
      </w:r>
    </w:p>
    <w:sectPr w:rsidR="007E0179" w:rsidSect="008C3816">
      <w:type w:val="continuous"/>
      <w:pgSz w:w="11906" w:h="16838"/>
      <w:pgMar w:top="1134" w:right="1247" w:bottom="1134" w:left="1134" w:header="1134" w:footer="765" w:gutter="0"/>
      <w:paperSrc w:first="7" w:other="7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6E" w:rsidRDefault="0004186E">
      <w:r>
        <w:separator/>
      </w:r>
    </w:p>
  </w:endnote>
  <w:endnote w:type="continuationSeparator" w:id="0">
    <w:p w:rsidR="0004186E" w:rsidRDefault="0004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6E" w:rsidRDefault="0004186E">
      <w:r>
        <w:separator/>
      </w:r>
    </w:p>
  </w:footnote>
  <w:footnote w:type="continuationSeparator" w:id="0">
    <w:p w:rsidR="0004186E" w:rsidRDefault="0004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03B81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B225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0DE9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784E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37ED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EEE"/>
    <w:rsid w:val="0004186E"/>
    <w:rsid w:val="00142240"/>
    <w:rsid w:val="001B19F7"/>
    <w:rsid w:val="002225AC"/>
    <w:rsid w:val="002774A1"/>
    <w:rsid w:val="003033BD"/>
    <w:rsid w:val="003E2EEE"/>
    <w:rsid w:val="004B0768"/>
    <w:rsid w:val="007E0179"/>
    <w:rsid w:val="008C3816"/>
    <w:rsid w:val="00A40167"/>
    <w:rsid w:val="00E0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3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8C3816"/>
    <w:pPr>
      <w:tabs>
        <w:tab w:val="num" w:pos="360"/>
      </w:tabs>
      <w:ind w:left="360" w:hanging="360"/>
    </w:pPr>
    <w:rPr>
      <w:color w:val="000000"/>
      <w:sz w:val="22"/>
    </w:rPr>
  </w:style>
  <w:style w:type="paragraph" w:styleId="Listapunktowana2">
    <w:name w:val="List Bullet 2"/>
    <w:basedOn w:val="Normalny"/>
    <w:autoRedefine/>
    <w:rsid w:val="008C3816"/>
    <w:pPr>
      <w:tabs>
        <w:tab w:val="num" w:pos="643"/>
      </w:tabs>
      <w:ind w:left="643" w:hanging="360"/>
    </w:pPr>
    <w:rPr>
      <w:color w:val="000000"/>
      <w:sz w:val="22"/>
    </w:rPr>
  </w:style>
  <w:style w:type="paragraph" w:styleId="Listapunktowana3">
    <w:name w:val="List Bullet 3"/>
    <w:basedOn w:val="Normalny"/>
    <w:autoRedefine/>
    <w:rsid w:val="008C3816"/>
    <w:pPr>
      <w:tabs>
        <w:tab w:val="num" w:pos="926"/>
      </w:tabs>
      <w:ind w:left="926" w:hanging="360"/>
    </w:pPr>
    <w:rPr>
      <w:color w:val="000000"/>
      <w:sz w:val="22"/>
    </w:rPr>
  </w:style>
  <w:style w:type="paragraph" w:styleId="Listapunktowana4">
    <w:name w:val="List Bullet 4"/>
    <w:basedOn w:val="Normalny"/>
    <w:autoRedefine/>
    <w:rsid w:val="008C3816"/>
    <w:pPr>
      <w:tabs>
        <w:tab w:val="num" w:pos="1209"/>
      </w:tabs>
      <w:ind w:left="1209" w:hanging="360"/>
    </w:pPr>
    <w:rPr>
      <w:color w:val="000000"/>
      <w:sz w:val="22"/>
    </w:rPr>
  </w:style>
  <w:style w:type="paragraph" w:styleId="Listapunktowana5">
    <w:name w:val="List Bullet 5"/>
    <w:basedOn w:val="Normalny"/>
    <w:autoRedefine/>
    <w:rsid w:val="008C3816"/>
    <w:pPr>
      <w:tabs>
        <w:tab w:val="num" w:pos="1492"/>
      </w:tabs>
      <w:ind w:left="1492" w:hanging="360"/>
    </w:pPr>
    <w:rPr>
      <w:color w:val="000000"/>
      <w:sz w:val="22"/>
    </w:rPr>
  </w:style>
  <w:style w:type="character" w:customStyle="1" w:styleId="tw4winError">
    <w:name w:val="tw4winError"/>
    <w:rsid w:val="008C3816"/>
    <w:rPr>
      <w:rFonts w:ascii="Courier New" w:hAnsi="Courier New"/>
      <w:color w:val="00FF00"/>
      <w:sz w:val="40"/>
    </w:rPr>
  </w:style>
  <w:style w:type="paragraph" w:styleId="Tekstpodstawowy">
    <w:name w:val="Body Text"/>
    <w:basedOn w:val="Normalny"/>
    <w:rsid w:val="008C3816"/>
    <w:pPr>
      <w:spacing w:before="120"/>
      <w:jc w:val="both"/>
    </w:pPr>
    <w:rPr>
      <w:sz w:val="22"/>
    </w:rPr>
  </w:style>
  <w:style w:type="character" w:customStyle="1" w:styleId="tw4winPopup">
    <w:name w:val="tw4winPopup"/>
    <w:rsid w:val="008C3816"/>
    <w:rPr>
      <w:rFonts w:ascii="Courier New" w:hAnsi="Courier New"/>
      <w:noProof/>
      <w:color w:val="008000"/>
    </w:rPr>
  </w:style>
  <w:style w:type="paragraph" w:styleId="Zwykytekst">
    <w:name w:val="Plain Text"/>
    <w:basedOn w:val="Normalny"/>
    <w:rsid w:val="008C38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napToGrid w:val="0"/>
      <w:lang w:val="en-GB"/>
    </w:rPr>
  </w:style>
  <w:style w:type="character" w:customStyle="1" w:styleId="tw4winMark">
    <w:name w:val="tw4winMark"/>
    <w:rsid w:val="008C3816"/>
    <w:rPr>
      <w:rFonts w:ascii="Courier New" w:hAnsi="Courier New"/>
      <w:vanish/>
      <w:color w:val="800080"/>
      <w:sz w:val="24"/>
      <w:szCs w:val="24"/>
      <w:vertAlign w:val="subscript"/>
    </w:rPr>
  </w:style>
  <w:style w:type="paragraph" w:styleId="Tekstpodstawowywcity">
    <w:name w:val="Body Text Indent"/>
    <w:basedOn w:val="Normalny"/>
    <w:rsid w:val="008C3816"/>
    <w:pPr>
      <w:widowControl w:val="0"/>
      <w:tabs>
        <w:tab w:val="left" w:pos="283"/>
        <w:tab w:val="left" w:pos="566"/>
        <w:tab w:val="left" w:pos="849"/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  <w:tab w:val="left" w:pos="10478"/>
        <w:tab w:val="left" w:pos="10761"/>
      </w:tabs>
      <w:suppressAutoHyphens/>
      <w:overflowPunct w:val="0"/>
      <w:autoSpaceDE w:val="0"/>
      <w:autoSpaceDN w:val="0"/>
      <w:adjustRightInd w:val="0"/>
      <w:ind w:left="566" w:hanging="566"/>
      <w:textAlignment w:val="baseline"/>
    </w:pPr>
    <w:rPr>
      <w:color w:val="000000"/>
      <w:sz w:val="24"/>
      <w:lang w:val="fr-FR"/>
    </w:rPr>
  </w:style>
  <w:style w:type="character" w:styleId="Odwoanieprzypisudolnego">
    <w:name w:val="footnote reference"/>
    <w:basedOn w:val="Domylnaczcionkaakapitu"/>
    <w:semiHidden/>
    <w:rsid w:val="008C3816"/>
    <w:rPr>
      <w:vertAlign w:val="superscript"/>
    </w:rPr>
  </w:style>
  <w:style w:type="paragraph" w:styleId="Lista">
    <w:name w:val="List"/>
    <w:basedOn w:val="Normalny"/>
    <w:rsid w:val="008C3816"/>
    <w:pPr>
      <w:ind w:left="283" w:hanging="283"/>
    </w:pPr>
    <w:rPr>
      <w:color w:val="000000"/>
      <w:sz w:val="22"/>
    </w:rPr>
  </w:style>
  <w:style w:type="paragraph" w:styleId="Tekstprzypisudolnego">
    <w:name w:val="footnote text"/>
    <w:basedOn w:val="Normalny"/>
    <w:semiHidden/>
    <w:rsid w:val="008C3816"/>
    <w:rPr>
      <w:color w:val="000000"/>
    </w:rPr>
  </w:style>
  <w:style w:type="character" w:styleId="Numerstrony">
    <w:name w:val="page number"/>
    <w:basedOn w:val="Domylnaczcionkaakapitu"/>
    <w:rsid w:val="008C3816"/>
  </w:style>
  <w:style w:type="paragraph" w:styleId="Stopka">
    <w:name w:val="footer"/>
    <w:basedOn w:val="Normalny"/>
    <w:rsid w:val="008C3816"/>
    <w:pPr>
      <w:tabs>
        <w:tab w:val="center" w:pos="4153"/>
        <w:tab w:val="right" w:pos="8306"/>
      </w:tabs>
    </w:pPr>
    <w:rPr>
      <w:color w:val="000000"/>
      <w:sz w:val="22"/>
    </w:rPr>
  </w:style>
  <w:style w:type="character" w:customStyle="1" w:styleId="tw4winJump">
    <w:name w:val="tw4winJump"/>
    <w:rsid w:val="008C3816"/>
    <w:rPr>
      <w:rFonts w:ascii="Courier New" w:hAnsi="Courier New"/>
      <w:noProof/>
      <w:color w:val="008080"/>
    </w:rPr>
  </w:style>
  <w:style w:type="paragraph" w:styleId="Tekstpodstawowywcity2">
    <w:name w:val="Body Text Indent 2"/>
    <w:basedOn w:val="Normalny"/>
    <w:rsid w:val="008C3816"/>
    <w:pPr>
      <w:spacing w:before="120"/>
      <w:ind w:left="142" w:hanging="142"/>
      <w:jc w:val="both"/>
    </w:pPr>
    <w:rPr>
      <w:sz w:val="22"/>
    </w:rPr>
  </w:style>
  <w:style w:type="paragraph" w:styleId="Tekstpodstawowywcity3">
    <w:name w:val="Body Text Indent 3"/>
    <w:basedOn w:val="Normalny"/>
    <w:rsid w:val="008C3816"/>
    <w:pPr>
      <w:tabs>
        <w:tab w:val="left" w:pos="-720"/>
        <w:tab w:val="left" w:pos="0"/>
        <w:tab w:val="left" w:pos="720"/>
        <w:tab w:val="left" w:pos="1440"/>
      </w:tabs>
      <w:suppressAutoHyphens/>
      <w:spacing w:line="288" w:lineRule="auto"/>
      <w:ind w:left="1418" w:hanging="1418"/>
      <w:jc w:val="both"/>
    </w:pPr>
    <w:rPr>
      <w:spacing w:val="-3"/>
      <w:sz w:val="22"/>
    </w:rPr>
  </w:style>
  <w:style w:type="paragraph" w:styleId="Nagwek">
    <w:name w:val="header"/>
    <w:basedOn w:val="Normalny"/>
    <w:rsid w:val="008C381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TRAKTAT USTANAWIAJĄCY WSPÓLNOTĘ EUROPEJSKĄ</vt:lpstr>
    </vt:vector>
  </TitlesOfParts>
  <Company>UKIE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TRAKTAT USTANAWIAJĄCY WSPÓLNOTĘ EUROPEJSKĄ</dc:title>
  <dc:creator>Maciek Górka</dc:creator>
  <cp:lastModifiedBy>kurdor</cp:lastModifiedBy>
  <cp:revision>2</cp:revision>
  <cp:lastPrinted>2016-04-19T11:46:00Z</cp:lastPrinted>
  <dcterms:created xsi:type="dcterms:W3CDTF">2016-04-19T11:50:00Z</dcterms:created>
  <dcterms:modified xsi:type="dcterms:W3CDTF">2016-04-19T11:50:00Z</dcterms:modified>
</cp:coreProperties>
</file>